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09 224 vom 4. Februar 2010</w:t>
      </w:r>
    </w:p>
    <w:p>
      <w:r>
        <w:t>VS Kantonsgericht, 2010-02-04, FR</w:t>
      </w:r>
    </w:p>
    <w:p>
      <w:r>
        <w:rPr>
          <w:b/>
        </w:rPr>
        <w:t xml:space="preserve">Quelle: </w:t>
      </w:r>
      <w:r>
        <w:t>https://mcp.opencaselaw.ch/entscheid/vs_gerichte_A1 09 224</w:t>
      </w:r>
    </w:p>
    <w:p>
      <w:r>
        <w:t>FR: VS_GERICHTE A1 09 224 du 4 février 2010</w:t>
      </w:r>
    </w:p>
    <w:p>
      <w:r>
        <w:t>IT: VS_GERICHTE A1 09 224 del 4 febbraio 2010</w:t>
      </w:r>
    </w:p>
    <w:p>
      <w:pPr>
        <w:pStyle w:val="Heading2"/>
      </w:pPr>
      <w:r>
        <w:t>Regeste</w:t>
      </w:r>
    </w:p>
    <w:p>
      <w:r>
        <w:t>RVJ / ZWR 2011 139 Jurisprudence de la Cour de droit public et de la Commission de recours en matière fiscale Rechtsprechung der öffentlichrechtlichen Abteilung und der Steuerrekurskommission Constructions Bauwesen Constructions - ATC (Cour de droit public) du 4 février 2010 Procédure d’autorisation de bâtir et procédure de police des constructions – Relation entre la procédure d’autorisation de bâtir et la procédure ouverte, à la demande du voisin, pour l’examen de la conformité d’un ouvrage déjà réalisé au permis de bâtir délivré au constructeur; ces deux procédures peuvent, le cas échéant, aboutir à une seule décision de première instance lorsque celle-ci est attaquée par un voisin, la juridiction de recours peut traiter dans deux pronon- cés séparés ces deux aspects de la cause (consid. 2 et 7). – Exigences relatives aux documents à joindre à une demande d’autorisation de bâtir (consid. 3). – Quand la réalisation de l’ouvrage à autoriser implique la démolition d’un ouvrage existant, ces travaux peuvent, en principe, être autorisés en une seule</w:t>
      </w:r>
    </w:p>
    <w:p>
      <w:pPr>
        <w:pStyle w:val="Heading2"/>
      </w:pPr>
      <w:r>
        <w:t>Erwägungen</w:t>
      </w:r>
    </w:p>
    <w:p>
      <w:r>
        <w:rPr>
          <w:b/>
        </w:rPr>
        <w:t>E. 4</w:t>
      </w:r>
    </w:p>
    <w:p>
      <w:r>
        <w:t>Les recourants soutiennent également qu’un permis de démoli- tion aurait dû être délivré séparément pour ce qui concerne la section est du mur litigieux, appelée, selon les plans approuvés, à reculer d’un mètre. Le moyen n’est guère mieux fondé que les précédents: la modi- fication du tracé du mur litigieux doit s’analyser comme une transfor- mation au sens de l’art. 15 LC, qui peut être autorisée dans une seule et même décision. Exiger, en pareille hypothèse, deux décisions for- mellement séparées – autorisation de démolir, puis de bâtir – consa- crerait une pratique exagérément tatillonne, qu’aucun intérêt digne de protection ne justifie, et qui ferait peu de cas de l’interdiction consti- tutionnelle du formalisme excessif (Auer/Malinverni/Hottelier, Droit constitutionnel suisse, vol. II, 2e éd., no 1303; cf. aussi RVJ 1990 p. 11 consid. 1).</w:t>
      </w:r>
    </w:p>
    <w:p>
      <w:r>
        <w:rPr>
          <w:b/>
        </w:rPr>
        <w:t>E. 5</w:t>
      </w:r>
    </w:p>
    <w:p>
      <w:r>
        <w:t>Sur le fond, les recourants invoquent les prescriptions de la loi du 3 septembre 1965 sur les routes (LR; RS/VS 725.1) régissant les dis- tances (art. 166 ss LR). Or, ces dispositions ne concernent les chemins privés que lorsque ceux-ci sont affectés à l’usage commun (art. 1er al. 1 et 11 LR), ce qui nécessite une décision de l’autorité compétente et l’ac- cord du propriétaire concerné (art. 21 al. 1 LR). Il n’est pas établi qu’une telle décision d’affectation a été prise, de sorte que la référence à loi précitée n’est d’aucun secours aux recourants. Pour le reste, on ne voit pas en quoi la construction du mur litigieux serait de nature à compromettre la sécurité des usagers de la route d’accès, ni l’entretien de celle-ci ou le déneigement. Enfin, dans la mesure où l’hoirie Y. entend se plaindre du tracé du chemin d’accès ou du défaut d’équipe- ment de la parcelle des intimés, ses griefs sont irrecevables: l’emprise du passage correspond à celle qui avait été mise à l’enquête au prin-</w:t>
      </w:r>
    </w:p>
    <w:p>
      <w:r>
        <w:t>temps 2007 déjà, lorsque la construction du chalet a été autorisée; les recourants ayant négligé de réagir à ce moment-là – en formant oppo- sition – ils sont déchus du droit de le faire à l’occasion de la présente procédure (cf. supra, consid. 2c).</w:t>
      </w:r>
    </w:p>
    <w:p>
      <w:r>
        <w:rPr>
          <w:b/>
        </w:rPr>
        <w:t>E. 6</w:t>
      </w:r>
    </w:p>
    <w:p>
      <w:r>
        <w:t>a) Les recourants se plaignent enfin de ce que le Conseil com- munal n’a pas analysé l’impact de la construction litigieuse sur le pay- sage, ainsi que le respect de la clause esthétique. Cette omission constituerait un déni de justice, que le Conseil d’Etat aurait dû sanc- tionner en renvoyant la cause à l’autorité de première instance. b) Les constructions et installations doivent respecter l’environ- nement naturel et bâti dans lequel elles s’inscrivent, notamment du point de vue du volume, de l’emplacement, de la forme, des matériaux et leur couleur. La règlementation communale s’inspire de la même préoccupation lorsqu’elle exige que les constructions et leurs abords doivent présenter des formes, des couleurs et des aménagements qui s’harmonisent aux constructions environnantes et au caractère du site (art. 49 let. a RCCZ); à cette condition positive, qui s’adresse au requé- rant, s’ajoute un droit de veto du Conseil communal, qui peut s’oppo- ser à tout projet de nature à compromettre l’aspect ou le caractère d’un site (art. 49 let. b RCCZ). L’esthétique d’une construction doit s’appré- cier d’après son intégration dans le site considéré. Il s’agit là d’un concept juridique non défini laissant à l’autorité compétente un large pouvoir d’appréciation, dont elle doit user non pas en fonction de son sentiment subjectif, mais selon des critères objectifs et systématiques (ATF 115 Ia 118 consid. 3d; RVJ 2008 p. 5 consid. 3c). c) Il faut concéder aux recourants que la décision du 18 novem- bre 2008 n’appréhende pas expressément la problématique de l’esthé- tique du mur litigieux. Cela étant, ils sont mal inspirés d’en faire le reproche au Conseil communal, dès lors qu’ils se limitaient à relever, dans leur opposition, «que l’on ne peut pas dire que le mur et cette grande différence de niveaux avec le terrain naturel des fonds voisins satisfassent à la clause esthétique pour cette zone chalet», tout en lais- sant à l’«appréciation [de l’autorité] le respect du droit de l’environ- nement, dont notamment l’impact sur le paysage». C’est le lieu de rap- peler que la commune n’était pas tenue d’examiner une nouvelle fois l’intégration du remblai – et de la différence de niveaux y consécutive – dans la zone de chalets, dans la mesure où cet aménagement avait été autorisé le 10 juillet 2007, sans susciter l’opposition des voisins 148 RVJ / ZWR 2011</w:t>
      </w:r>
    </w:p>
    <w:p>
      <w:r>
        <w:t>RVJ / ZWR 2011 149 immédiats. Pour le reste, on ne pouvait exiger de l’autorité commu- nale qu’elle se livre à une discussion approfondie des mérites esthé- tiques du mur litigieux, alors que les recourants n’avaient élevé aucune critique un tant soit peu concrète à ce sujet dans leur opposi- tion. Il s’ensuit que le Conseil communal pouvait se borner à consta- ter que le mur litigieux respectait toutes les prescriptions cantonales et communales, au nombre desquelles on compte également la clause esthétique. Mal fondé, ce grief est rejeté.</w:t>
      </w:r>
    </w:p>
    <w:p>
      <w:r>
        <w:rPr>
          <w:b/>
        </w:rPr>
        <w:t>E. 7</w:t>
      </w:r>
    </w:p>
    <w:p>
      <w:r>
        <w:t>Au surplus, les critiques des recourants se rapportent aux élé- ments de construction autorisés au terme de la décision du 10 juil- let 2007 (exécution du remblai, implantation du chalet, etc.). En tant que tels, ils ne sont pas recevables dans le présent recours, étant rappelé – à toutes fins utiles – que, dans la mesure où ils visent à remettre en cause le bien-fondé de la décision d’autorisation du 10 juillet 2007, ils ne le sont pas non plus dans la procédure de police des constructions.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